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E7" w:rsidRDefault="00C46DE7" w:rsidP="00C46DE7">
      <w:pPr>
        <w:tabs>
          <w:tab w:val="left" w:pos="3735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u w:val="single"/>
        </w:rPr>
      </w:pPr>
      <w:r>
        <w:rPr>
          <w:rFonts w:ascii="Tahoma" w:eastAsia="Times New Roman" w:hAnsi="Tahoma" w:cs="Tahoma"/>
          <w:sz w:val="24"/>
          <w:szCs w:val="24"/>
        </w:rPr>
        <w:t>TAMIL NADU GENERATION &amp; DISTRIBUTION CORPORATION LIMITED</w:t>
      </w:r>
    </w:p>
    <w:p w:rsidR="00C46DE7" w:rsidRDefault="00C46DE7" w:rsidP="00C46DE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(ACCOUNTS BRANCH)</w:t>
      </w:r>
    </w:p>
    <w:p w:rsidR="00C46DE7" w:rsidRDefault="00C46DE7" w:rsidP="00C46DE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  </w:t>
      </w:r>
    </w:p>
    <w:p w:rsidR="00C46DE7" w:rsidRDefault="00C46DE7" w:rsidP="00C46DE7">
      <w:pPr>
        <w:tabs>
          <w:tab w:val="left" w:pos="5970"/>
        </w:tabs>
        <w:spacing w:after="0" w:line="240" w:lineRule="auto"/>
        <w:ind w:right="119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                                       144 Anna Salai,</w:t>
      </w:r>
    </w:p>
    <w:p w:rsidR="00C46DE7" w:rsidRDefault="00C46DE7" w:rsidP="00C46DE7">
      <w:pPr>
        <w:tabs>
          <w:tab w:val="left" w:pos="5970"/>
        </w:tabs>
        <w:spacing w:after="0" w:line="240" w:lineRule="auto"/>
        <w:ind w:right="119"/>
        <w:jc w:val="righ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Chennai – 600 002.</w:t>
      </w:r>
    </w:p>
    <w:p w:rsidR="00C46DE7" w:rsidRDefault="00C46DE7" w:rsidP="00C46DE7">
      <w:pPr>
        <w:tabs>
          <w:tab w:val="left" w:pos="5970"/>
        </w:tabs>
        <w:spacing w:after="0" w:line="240" w:lineRule="auto"/>
        <w:ind w:right="119"/>
        <w:jc w:val="right"/>
        <w:rPr>
          <w:rFonts w:ascii="Tahoma" w:eastAsia="Times New Roman" w:hAnsi="Tahoma" w:cs="Tahoma"/>
          <w:sz w:val="24"/>
          <w:szCs w:val="24"/>
        </w:rPr>
      </w:pPr>
    </w:p>
    <w:p w:rsidR="00C46DE7" w:rsidRDefault="00C46DE7" w:rsidP="00C46DE7">
      <w:pPr>
        <w:tabs>
          <w:tab w:val="center" w:pos="4513"/>
        </w:tabs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Memo.N</w:t>
      </w:r>
      <w:r w:rsidR="00405790">
        <w:rPr>
          <w:rFonts w:ascii="Tahoma" w:hAnsi="Tahoma" w:cs="Tahoma"/>
          <w:sz w:val="24"/>
          <w:szCs w:val="24"/>
          <w:u w:val="single"/>
        </w:rPr>
        <w:t>o.CFC/REV/FC/REV/DFC/AAO/HT/D.</w:t>
      </w:r>
      <w:r w:rsidR="00542302">
        <w:rPr>
          <w:rFonts w:ascii="Tahoma" w:hAnsi="Tahoma" w:cs="Tahoma"/>
          <w:sz w:val="24"/>
          <w:szCs w:val="24"/>
          <w:u w:val="single"/>
        </w:rPr>
        <w:t>104/19, dt.19</w:t>
      </w:r>
      <w:r>
        <w:rPr>
          <w:rFonts w:ascii="Tahoma" w:hAnsi="Tahoma" w:cs="Tahoma"/>
          <w:sz w:val="24"/>
          <w:szCs w:val="24"/>
          <w:u w:val="single"/>
        </w:rPr>
        <w:t>.02.2019.</w:t>
      </w:r>
    </w:p>
    <w:p w:rsidR="00C46DE7" w:rsidRDefault="00C46DE7" w:rsidP="00C46DE7"/>
    <w:p w:rsidR="00C46DE7" w:rsidRDefault="00C46DE7" w:rsidP="00C46DE7">
      <w:pPr>
        <w:spacing w:after="0"/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rPr>
          <w:rFonts w:ascii="Tahoma" w:hAnsi="Tahoma" w:cs="Tahoma"/>
          <w:sz w:val="24"/>
          <w:szCs w:val="24"/>
        </w:rPr>
        <w:t>Sub : Elecy. – Implementation of OA software – January 2019 –</w:t>
      </w:r>
    </w:p>
    <w:p w:rsidR="00C46DE7" w:rsidRDefault="00C46DE7" w:rsidP="00C46D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Working instructions – issued – reg.</w:t>
      </w:r>
    </w:p>
    <w:p w:rsidR="00405790" w:rsidRDefault="00405790" w:rsidP="00C46D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Ref : </w:t>
      </w:r>
      <w:r w:rsidRPr="00405790">
        <w:rPr>
          <w:rFonts w:ascii="Tahoma" w:hAnsi="Tahoma" w:cs="Tahoma"/>
          <w:sz w:val="24"/>
          <w:szCs w:val="24"/>
        </w:rPr>
        <w:t>Memo.No.CFC/REV/FC/REV/DFC/AAO/HT/D.95/19, dt.14.02.2019</w:t>
      </w:r>
      <w:r>
        <w:rPr>
          <w:rFonts w:ascii="Tahoma" w:hAnsi="Tahoma" w:cs="Tahoma"/>
          <w:sz w:val="24"/>
          <w:szCs w:val="24"/>
        </w:rPr>
        <w:t>.</w:t>
      </w:r>
    </w:p>
    <w:p w:rsidR="00405790" w:rsidRDefault="00C46DE7" w:rsidP="00DA29D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****</w:t>
      </w:r>
      <w:r w:rsidR="00405790">
        <w:rPr>
          <w:rFonts w:ascii="Tahoma" w:hAnsi="Tahoma" w:cs="Tahoma"/>
          <w:sz w:val="24"/>
          <w:szCs w:val="24"/>
        </w:rPr>
        <w:tab/>
      </w:r>
    </w:p>
    <w:p w:rsidR="00405790" w:rsidRDefault="00405790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The new Open Access software in respect of wind energy generators was launched for the bill month of January 2019. </w:t>
      </w:r>
      <w:r w:rsidR="00521050">
        <w:rPr>
          <w:rFonts w:ascii="Tahoma" w:hAnsi="Tahoma" w:cs="Tahoma"/>
          <w:sz w:val="24"/>
          <w:szCs w:val="24"/>
        </w:rPr>
        <w:t>As per the OA software, t</w:t>
      </w:r>
      <w:r>
        <w:rPr>
          <w:rFonts w:ascii="Tahoma" w:hAnsi="Tahoma" w:cs="Tahoma"/>
          <w:sz w:val="24"/>
          <w:szCs w:val="24"/>
        </w:rPr>
        <w:t>he energy allotments have to be made by the wind energy generators by logging into their user IDs provided to them by the generating end EDCs.</w:t>
      </w:r>
      <w:r w:rsidR="00DA29DF">
        <w:rPr>
          <w:rFonts w:ascii="Tahoma" w:hAnsi="Tahoma" w:cs="Tahoma"/>
          <w:sz w:val="24"/>
          <w:szCs w:val="24"/>
        </w:rPr>
        <w:t xml:space="preserve"> In this regard</w:t>
      </w:r>
      <w:r w:rsidR="00521050">
        <w:rPr>
          <w:rFonts w:ascii="Tahoma" w:hAnsi="Tahoma" w:cs="Tahoma"/>
          <w:sz w:val="24"/>
          <w:szCs w:val="24"/>
        </w:rPr>
        <w:t>,</w:t>
      </w:r>
      <w:r w:rsidR="00DA29DF">
        <w:rPr>
          <w:rFonts w:ascii="Tahoma" w:hAnsi="Tahoma" w:cs="Tahoma"/>
          <w:sz w:val="24"/>
          <w:szCs w:val="24"/>
        </w:rPr>
        <w:t xml:space="preserve"> necessary instructions were issued to the EDCs.</w:t>
      </w:r>
    </w:p>
    <w:p w:rsidR="00433EC1" w:rsidRDefault="00433EC1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750F4">
        <w:rPr>
          <w:rFonts w:ascii="Tahoma" w:hAnsi="Tahoma" w:cs="Tahoma"/>
          <w:sz w:val="24"/>
          <w:szCs w:val="24"/>
        </w:rPr>
        <w:t xml:space="preserve">2.0 </w:t>
      </w:r>
      <w:r>
        <w:rPr>
          <w:rFonts w:ascii="Tahoma" w:hAnsi="Tahoma" w:cs="Tahoma"/>
          <w:sz w:val="24"/>
          <w:szCs w:val="24"/>
        </w:rPr>
        <w:t xml:space="preserve">In continuation to the above, it is informed that 100% ownership WEGs are facing some difficulties in logging and making allotments for the generated units through Open Access software. </w:t>
      </w:r>
      <w:r w:rsidR="000F7CE2">
        <w:rPr>
          <w:rFonts w:ascii="Tahoma" w:hAnsi="Tahoma" w:cs="Tahoma"/>
          <w:sz w:val="24"/>
          <w:szCs w:val="24"/>
        </w:rPr>
        <w:t>However, in respect of group wing energy generators, most of them are making allotments without any difficulties.</w:t>
      </w:r>
      <w:r w:rsidR="003638FC">
        <w:rPr>
          <w:rFonts w:ascii="Tahoma" w:hAnsi="Tahoma" w:cs="Tahoma"/>
          <w:sz w:val="24"/>
          <w:szCs w:val="24"/>
        </w:rPr>
        <w:t xml:space="preserve"> </w:t>
      </w:r>
    </w:p>
    <w:p w:rsidR="002750F4" w:rsidRDefault="002750F4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33885" w:rsidRDefault="00433EC1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750F4">
        <w:rPr>
          <w:rFonts w:ascii="Tahoma" w:hAnsi="Tahoma" w:cs="Tahoma"/>
          <w:sz w:val="24"/>
          <w:szCs w:val="24"/>
        </w:rPr>
        <w:t xml:space="preserve">3.0 </w:t>
      </w:r>
      <w:r>
        <w:rPr>
          <w:rFonts w:ascii="Tahoma" w:hAnsi="Tahoma" w:cs="Tahoma"/>
          <w:sz w:val="24"/>
          <w:szCs w:val="24"/>
        </w:rPr>
        <w:t xml:space="preserve">In order to enable the </w:t>
      </w:r>
      <w:r w:rsidR="00521050">
        <w:rPr>
          <w:rFonts w:ascii="Tahoma" w:hAnsi="Tahoma" w:cs="Tahoma"/>
          <w:sz w:val="24"/>
          <w:szCs w:val="24"/>
        </w:rPr>
        <w:t xml:space="preserve">completion of </w:t>
      </w:r>
      <w:r>
        <w:rPr>
          <w:rFonts w:ascii="Tahoma" w:hAnsi="Tahoma" w:cs="Tahoma"/>
          <w:sz w:val="24"/>
          <w:szCs w:val="24"/>
        </w:rPr>
        <w:t xml:space="preserve">billing of HT </w:t>
      </w:r>
      <w:r w:rsidR="00521050">
        <w:rPr>
          <w:rFonts w:ascii="Tahoma" w:hAnsi="Tahoma" w:cs="Tahoma"/>
          <w:sz w:val="24"/>
          <w:szCs w:val="24"/>
        </w:rPr>
        <w:t>services</w:t>
      </w:r>
      <w:r>
        <w:rPr>
          <w:rFonts w:ascii="Tahoma" w:hAnsi="Tahoma" w:cs="Tahoma"/>
          <w:sz w:val="24"/>
          <w:szCs w:val="24"/>
        </w:rPr>
        <w:t xml:space="preserve"> </w:t>
      </w:r>
      <w:r w:rsidRPr="00521050">
        <w:rPr>
          <w:rFonts w:ascii="Tahoma" w:hAnsi="Tahoma" w:cs="Tahoma"/>
          <w:b/>
          <w:sz w:val="24"/>
          <w:szCs w:val="24"/>
        </w:rPr>
        <w:t>in respect of 100% WEGs</w:t>
      </w:r>
      <w:r>
        <w:rPr>
          <w:rFonts w:ascii="Tahoma" w:hAnsi="Tahoma" w:cs="Tahoma"/>
          <w:sz w:val="24"/>
          <w:szCs w:val="24"/>
        </w:rPr>
        <w:t xml:space="preserve">, it has been decided that the generating end EDCs are hereby instructed to prepare the generation statements from </w:t>
      </w:r>
      <w:r w:rsidR="000F7CE2">
        <w:rPr>
          <w:rFonts w:ascii="Tahoma" w:hAnsi="Tahoma" w:cs="Tahoma"/>
          <w:sz w:val="24"/>
          <w:szCs w:val="24"/>
        </w:rPr>
        <w:t>the open access software if the data</w:t>
      </w:r>
      <w:r w:rsidR="00521050">
        <w:rPr>
          <w:rFonts w:ascii="Tahoma" w:hAnsi="Tahoma" w:cs="Tahoma"/>
          <w:sz w:val="24"/>
          <w:szCs w:val="24"/>
        </w:rPr>
        <w:t xml:space="preserve"> is found</w:t>
      </w:r>
      <w:r w:rsidR="000F7CE2">
        <w:rPr>
          <w:rFonts w:ascii="Tahoma" w:hAnsi="Tahoma" w:cs="Tahoma"/>
          <w:sz w:val="24"/>
          <w:szCs w:val="24"/>
        </w:rPr>
        <w:t xml:space="preserve"> to be correct. In case of any discrepancies in the master data and billing data, the generation statements may be prepared as was done earlier taking into account of final reading as on 31.01.2019.</w:t>
      </w:r>
    </w:p>
    <w:p w:rsidR="002750F4" w:rsidRDefault="002750F4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F7CE2" w:rsidRDefault="002750F4" w:rsidP="000F7CE2">
      <w:pPr>
        <w:spacing w:after="0"/>
        <w:ind w:firstLine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4.0 </w:t>
      </w:r>
      <w:r w:rsidR="000F7CE2">
        <w:rPr>
          <w:rFonts w:ascii="Tahoma" w:hAnsi="Tahoma" w:cs="Tahoma"/>
          <w:sz w:val="24"/>
          <w:szCs w:val="24"/>
        </w:rPr>
        <w:t xml:space="preserve">In this connection, </w:t>
      </w:r>
      <w:r w:rsidR="000F7CE2" w:rsidRPr="00521050">
        <w:rPr>
          <w:rFonts w:ascii="Tahoma" w:hAnsi="Tahoma" w:cs="Tahoma"/>
          <w:b/>
          <w:sz w:val="24"/>
          <w:szCs w:val="24"/>
        </w:rPr>
        <w:t>first priority may be given to prepare 100% WEGs</w:t>
      </w:r>
      <w:r w:rsidR="000F7CE2">
        <w:rPr>
          <w:rFonts w:ascii="Tahoma" w:hAnsi="Tahoma" w:cs="Tahoma"/>
          <w:sz w:val="24"/>
          <w:szCs w:val="24"/>
        </w:rPr>
        <w:t xml:space="preserve"> </w:t>
      </w:r>
      <w:r w:rsidR="000F7CE2" w:rsidRPr="00521050">
        <w:rPr>
          <w:rFonts w:ascii="Tahoma" w:hAnsi="Tahoma" w:cs="Tahoma"/>
          <w:b/>
          <w:sz w:val="24"/>
          <w:szCs w:val="24"/>
        </w:rPr>
        <w:t>having only one user and subsequently having more than one user</w:t>
      </w:r>
      <w:r w:rsidR="000F7CE2">
        <w:rPr>
          <w:rFonts w:ascii="Tahoma" w:hAnsi="Tahoma" w:cs="Tahoma"/>
          <w:sz w:val="24"/>
          <w:szCs w:val="24"/>
        </w:rPr>
        <w:t>.</w:t>
      </w:r>
      <w:r w:rsidR="003638FC">
        <w:rPr>
          <w:rFonts w:ascii="Tahoma" w:hAnsi="Tahoma" w:cs="Tahoma"/>
          <w:sz w:val="24"/>
          <w:szCs w:val="24"/>
        </w:rPr>
        <w:t xml:space="preserve"> </w:t>
      </w:r>
    </w:p>
    <w:p w:rsidR="00AE0163" w:rsidRDefault="00AE0163" w:rsidP="000F7CE2">
      <w:pPr>
        <w:spacing w:after="0"/>
        <w:ind w:firstLine="1440"/>
        <w:jc w:val="both"/>
        <w:rPr>
          <w:rFonts w:ascii="Tahoma" w:hAnsi="Tahoma" w:cs="Tahoma"/>
          <w:sz w:val="24"/>
          <w:szCs w:val="24"/>
        </w:rPr>
      </w:pPr>
    </w:p>
    <w:p w:rsidR="002750F4" w:rsidRDefault="003638FC" w:rsidP="000F7CE2">
      <w:pPr>
        <w:spacing w:after="0"/>
        <w:ind w:firstLine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4.1 </w:t>
      </w:r>
      <w:r w:rsidR="00AE0163">
        <w:rPr>
          <w:rFonts w:ascii="Tahoma" w:hAnsi="Tahoma" w:cs="Tahoma"/>
          <w:sz w:val="24"/>
          <w:szCs w:val="24"/>
        </w:rPr>
        <w:t>In respect of g</w:t>
      </w:r>
      <w:r>
        <w:rPr>
          <w:rFonts w:ascii="Tahoma" w:hAnsi="Tahoma" w:cs="Tahoma"/>
          <w:sz w:val="24"/>
          <w:szCs w:val="24"/>
        </w:rPr>
        <w:t xml:space="preserve">roup </w:t>
      </w:r>
      <w:r w:rsidR="00AE0163">
        <w:rPr>
          <w:rFonts w:ascii="Tahoma" w:hAnsi="Tahoma" w:cs="Tahoma"/>
          <w:sz w:val="24"/>
          <w:szCs w:val="24"/>
        </w:rPr>
        <w:t xml:space="preserve">captive </w:t>
      </w:r>
      <w:r>
        <w:rPr>
          <w:rFonts w:ascii="Tahoma" w:hAnsi="Tahoma" w:cs="Tahoma"/>
          <w:sz w:val="24"/>
          <w:szCs w:val="24"/>
        </w:rPr>
        <w:t xml:space="preserve">wind energy generators most of them have already generated generation statements through online but </w:t>
      </w:r>
      <w:r w:rsidR="00AE0163">
        <w:rPr>
          <w:rFonts w:ascii="Tahoma" w:hAnsi="Tahoma" w:cs="Tahoma"/>
          <w:sz w:val="24"/>
          <w:szCs w:val="24"/>
        </w:rPr>
        <w:t xml:space="preserve">some of them </w:t>
      </w:r>
      <w:r>
        <w:rPr>
          <w:rFonts w:ascii="Tahoma" w:hAnsi="Tahoma" w:cs="Tahoma"/>
          <w:sz w:val="24"/>
          <w:szCs w:val="24"/>
        </w:rPr>
        <w:t>are facing issues in making allotments of the generated/banked units. Therefore the allotments in respect of cases</w:t>
      </w:r>
      <w:r w:rsidR="00F94679">
        <w:rPr>
          <w:rFonts w:ascii="Tahoma" w:hAnsi="Tahoma" w:cs="Tahoma"/>
          <w:sz w:val="24"/>
          <w:szCs w:val="24"/>
        </w:rPr>
        <w:t xml:space="preserve"> where allotments </w:t>
      </w:r>
      <w:r>
        <w:rPr>
          <w:rFonts w:ascii="Tahoma" w:hAnsi="Tahoma" w:cs="Tahoma"/>
          <w:sz w:val="24"/>
          <w:szCs w:val="24"/>
        </w:rPr>
        <w:t xml:space="preserve">were not made online already may be arranged to be issued to the </w:t>
      </w:r>
      <w:r w:rsidR="00F94679">
        <w:rPr>
          <w:rFonts w:ascii="Tahoma" w:hAnsi="Tahoma" w:cs="Tahoma"/>
          <w:sz w:val="24"/>
          <w:szCs w:val="24"/>
        </w:rPr>
        <w:t>consumer end EDCs as was done earlier.</w:t>
      </w:r>
    </w:p>
    <w:p w:rsidR="00AE0163" w:rsidRDefault="00AE0163" w:rsidP="000F7CE2">
      <w:pPr>
        <w:spacing w:after="0"/>
        <w:ind w:firstLine="1440"/>
        <w:jc w:val="both"/>
        <w:rPr>
          <w:rFonts w:ascii="Tahoma" w:hAnsi="Tahoma" w:cs="Tahoma"/>
          <w:sz w:val="24"/>
          <w:szCs w:val="24"/>
        </w:rPr>
      </w:pPr>
    </w:p>
    <w:p w:rsidR="00AE0163" w:rsidRDefault="00AE0163" w:rsidP="000F7CE2">
      <w:pPr>
        <w:spacing w:after="0"/>
        <w:ind w:firstLine="1440"/>
        <w:jc w:val="both"/>
        <w:rPr>
          <w:rFonts w:ascii="Tahoma" w:hAnsi="Tahoma" w:cs="Tahoma"/>
          <w:sz w:val="24"/>
          <w:szCs w:val="24"/>
        </w:rPr>
      </w:pPr>
    </w:p>
    <w:p w:rsidR="008515C1" w:rsidRDefault="002750F4" w:rsidP="000F7CE2">
      <w:pPr>
        <w:spacing w:after="0"/>
        <w:ind w:firstLine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5.0 </w:t>
      </w:r>
      <w:r w:rsidR="00521050">
        <w:rPr>
          <w:rFonts w:ascii="Tahoma" w:hAnsi="Tahoma" w:cs="Tahoma"/>
          <w:sz w:val="24"/>
          <w:szCs w:val="24"/>
        </w:rPr>
        <w:t>Instructions f</w:t>
      </w:r>
      <w:r w:rsidR="008515C1">
        <w:rPr>
          <w:rFonts w:ascii="Tahoma" w:hAnsi="Tahoma" w:cs="Tahoma"/>
          <w:sz w:val="24"/>
          <w:szCs w:val="24"/>
        </w:rPr>
        <w:t>or the user End EDCs:</w:t>
      </w:r>
    </w:p>
    <w:p w:rsidR="002750F4" w:rsidRDefault="002750F4" w:rsidP="000F7CE2">
      <w:pPr>
        <w:spacing w:after="0"/>
        <w:ind w:firstLine="1440"/>
        <w:jc w:val="both"/>
        <w:rPr>
          <w:rFonts w:ascii="Tahoma" w:hAnsi="Tahoma" w:cs="Tahoma"/>
          <w:sz w:val="24"/>
          <w:szCs w:val="24"/>
        </w:rPr>
      </w:pPr>
    </w:p>
    <w:p w:rsidR="008515C1" w:rsidRDefault="008515C1" w:rsidP="000F7CE2">
      <w:pPr>
        <w:spacing w:after="0"/>
        <w:ind w:firstLine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It is informed that many consumers have already made the allotments through open access software and their HT bills were also prepared. However in respect of 100% ownership WEGs where allotments have not been completed fully so far, instruction </w:t>
      </w:r>
      <w:r w:rsidR="00521050">
        <w:rPr>
          <w:rFonts w:ascii="Tahoma" w:hAnsi="Tahoma" w:cs="Tahoma"/>
          <w:sz w:val="24"/>
          <w:szCs w:val="24"/>
        </w:rPr>
        <w:t>have been</w:t>
      </w:r>
      <w:r>
        <w:rPr>
          <w:rFonts w:ascii="Tahoma" w:hAnsi="Tahoma" w:cs="Tahoma"/>
          <w:sz w:val="24"/>
          <w:szCs w:val="24"/>
        </w:rPr>
        <w:t xml:space="preserve"> issued to the generating end EDCs to prepare generation statements manually as it was done earlier and to send the same to the respective user end EDCs. Therefore </w:t>
      </w:r>
      <w:r w:rsidR="00521050">
        <w:rPr>
          <w:rFonts w:ascii="Tahoma" w:hAnsi="Tahoma" w:cs="Tahoma"/>
          <w:sz w:val="24"/>
          <w:szCs w:val="24"/>
        </w:rPr>
        <w:t>as soon as</w:t>
      </w:r>
      <w:r>
        <w:rPr>
          <w:rFonts w:ascii="Tahoma" w:hAnsi="Tahoma" w:cs="Tahoma"/>
          <w:sz w:val="24"/>
          <w:szCs w:val="24"/>
        </w:rPr>
        <w:t xml:space="preserve"> receipt of </w:t>
      </w:r>
      <w:r w:rsidR="00521050"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z w:val="24"/>
          <w:szCs w:val="24"/>
        </w:rPr>
        <w:t xml:space="preserve"> generation statements, the HT bills may be prepared</w:t>
      </w:r>
      <w:r w:rsidR="00C65D14">
        <w:rPr>
          <w:rFonts w:ascii="Tahoma" w:hAnsi="Tahoma" w:cs="Tahoma"/>
          <w:sz w:val="24"/>
          <w:szCs w:val="24"/>
        </w:rPr>
        <w:t xml:space="preserve"> duly taking into account </w:t>
      </w:r>
      <w:r w:rsidR="00521050">
        <w:rPr>
          <w:rFonts w:ascii="Tahoma" w:hAnsi="Tahoma" w:cs="Tahoma"/>
          <w:sz w:val="24"/>
          <w:szCs w:val="24"/>
        </w:rPr>
        <w:t>the</w:t>
      </w:r>
      <w:r w:rsidR="00C65D14">
        <w:rPr>
          <w:rFonts w:ascii="Tahoma" w:hAnsi="Tahoma" w:cs="Tahoma"/>
          <w:sz w:val="24"/>
          <w:szCs w:val="24"/>
        </w:rPr>
        <w:t xml:space="preserve"> banking units. If the HT bills </w:t>
      </w:r>
      <w:r w:rsidR="00521050">
        <w:rPr>
          <w:rFonts w:ascii="Tahoma" w:hAnsi="Tahoma" w:cs="Tahoma"/>
          <w:sz w:val="24"/>
          <w:szCs w:val="24"/>
        </w:rPr>
        <w:t xml:space="preserve">were </w:t>
      </w:r>
      <w:r w:rsidR="00C65D14">
        <w:rPr>
          <w:rFonts w:ascii="Tahoma" w:hAnsi="Tahoma" w:cs="Tahoma"/>
          <w:sz w:val="24"/>
          <w:szCs w:val="24"/>
        </w:rPr>
        <w:t xml:space="preserve">already prepared without taking wind energy, the same may be revised on receipt of generation statements from the generating end EDCs. </w:t>
      </w:r>
      <w:r w:rsidR="00521050">
        <w:rPr>
          <w:rFonts w:ascii="Tahoma" w:hAnsi="Tahoma" w:cs="Tahoma"/>
          <w:sz w:val="24"/>
          <w:szCs w:val="24"/>
        </w:rPr>
        <w:t>However while giving adjustments</w:t>
      </w:r>
      <w:r w:rsidR="007C043C">
        <w:rPr>
          <w:rFonts w:ascii="Tahoma" w:hAnsi="Tahoma" w:cs="Tahoma"/>
          <w:sz w:val="24"/>
          <w:szCs w:val="24"/>
        </w:rPr>
        <w:t xml:space="preserve"> </w:t>
      </w:r>
      <w:r w:rsidR="00521050">
        <w:rPr>
          <w:rFonts w:ascii="Tahoma" w:hAnsi="Tahoma" w:cs="Tahoma"/>
          <w:sz w:val="24"/>
          <w:szCs w:val="24"/>
        </w:rPr>
        <w:t xml:space="preserve">it may be </w:t>
      </w:r>
      <w:r w:rsidR="007C043C">
        <w:rPr>
          <w:rFonts w:ascii="Tahoma" w:hAnsi="Tahoma" w:cs="Tahoma"/>
          <w:sz w:val="24"/>
          <w:szCs w:val="24"/>
        </w:rPr>
        <w:t xml:space="preserve">ensures that there is no duplicate </w:t>
      </w:r>
      <w:r w:rsidR="00521050">
        <w:rPr>
          <w:rFonts w:ascii="Tahoma" w:hAnsi="Tahoma" w:cs="Tahoma"/>
          <w:sz w:val="24"/>
          <w:szCs w:val="24"/>
        </w:rPr>
        <w:t>allotments</w:t>
      </w:r>
      <w:r w:rsidR="001057F8">
        <w:rPr>
          <w:rFonts w:ascii="Tahoma" w:hAnsi="Tahoma" w:cs="Tahoma"/>
          <w:sz w:val="24"/>
          <w:szCs w:val="24"/>
        </w:rPr>
        <w:t>.</w:t>
      </w:r>
      <w:r w:rsidR="00521050">
        <w:rPr>
          <w:rFonts w:ascii="Tahoma" w:hAnsi="Tahoma" w:cs="Tahoma"/>
          <w:sz w:val="24"/>
          <w:szCs w:val="24"/>
        </w:rPr>
        <w:t xml:space="preserve"> </w:t>
      </w:r>
      <w:r w:rsidR="00C65D14">
        <w:rPr>
          <w:rFonts w:ascii="Tahoma" w:hAnsi="Tahoma" w:cs="Tahoma"/>
          <w:sz w:val="24"/>
          <w:szCs w:val="24"/>
        </w:rPr>
        <w:t>The bill d</w:t>
      </w:r>
      <w:r w:rsidR="00521050">
        <w:rPr>
          <w:rFonts w:ascii="Tahoma" w:hAnsi="Tahoma" w:cs="Tahoma"/>
          <w:sz w:val="24"/>
          <w:szCs w:val="24"/>
        </w:rPr>
        <w:t>ates may be altered accordingly without giving room for complaints from the consumers.</w:t>
      </w:r>
    </w:p>
    <w:p w:rsidR="00405790" w:rsidRDefault="003638FC" w:rsidP="003638F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 By order of the Director/Finance)</w:t>
      </w:r>
    </w:p>
    <w:p w:rsidR="003638FC" w:rsidRDefault="003638FC" w:rsidP="002750F4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638FC" w:rsidRDefault="00542302" w:rsidP="002750F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Sd/-dt.19.02.2018 </w:t>
      </w:r>
    </w:p>
    <w:p w:rsidR="00405790" w:rsidRDefault="00405790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Chief Financial Controller/Revenue</w:t>
      </w:r>
    </w:p>
    <w:p w:rsidR="00405790" w:rsidRDefault="00405790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405790" w:rsidRDefault="00405790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</w:t>
      </w:r>
    </w:p>
    <w:p w:rsidR="00405790" w:rsidRDefault="00405790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S</w:t>
      </w:r>
      <w:r w:rsidR="003F18D0">
        <w:rPr>
          <w:rFonts w:ascii="Tahoma" w:hAnsi="Tahoma" w:cs="Tahoma"/>
          <w:sz w:val="24"/>
          <w:szCs w:val="24"/>
        </w:rPr>
        <w:t xml:space="preserve">uperintending </w:t>
      </w:r>
      <w:r>
        <w:rPr>
          <w:rFonts w:ascii="Tahoma" w:hAnsi="Tahoma" w:cs="Tahoma"/>
          <w:sz w:val="24"/>
          <w:szCs w:val="24"/>
        </w:rPr>
        <w:t>E</w:t>
      </w:r>
      <w:r w:rsidR="003F18D0">
        <w:rPr>
          <w:rFonts w:ascii="Tahoma" w:hAnsi="Tahoma" w:cs="Tahoma"/>
          <w:sz w:val="24"/>
          <w:szCs w:val="24"/>
        </w:rPr>
        <w:t>ngineer</w:t>
      </w:r>
      <w:r>
        <w:rPr>
          <w:rFonts w:ascii="Tahoma" w:hAnsi="Tahoma" w:cs="Tahoma"/>
          <w:sz w:val="24"/>
          <w:szCs w:val="24"/>
        </w:rPr>
        <w:t>/EDCS</w:t>
      </w:r>
    </w:p>
    <w:p w:rsidR="00405790" w:rsidRDefault="00405790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Copy to the C</w:t>
      </w:r>
      <w:r w:rsidR="003F18D0">
        <w:rPr>
          <w:rFonts w:ascii="Tahoma" w:hAnsi="Tahoma" w:cs="Tahoma"/>
          <w:sz w:val="24"/>
          <w:szCs w:val="24"/>
        </w:rPr>
        <w:t xml:space="preserve">hief </w:t>
      </w:r>
      <w:r>
        <w:rPr>
          <w:rFonts w:ascii="Tahoma" w:hAnsi="Tahoma" w:cs="Tahoma"/>
          <w:sz w:val="24"/>
          <w:szCs w:val="24"/>
        </w:rPr>
        <w:t>E</w:t>
      </w:r>
      <w:r w:rsidR="003F18D0">
        <w:rPr>
          <w:rFonts w:ascii="Tahoma" w:hAnsi="Tahoma" w:cs="Tahoma"/>
          <w:sz w:val="24"/>
          <w:szCs w:val="24"/>
        </w:rPr>
        <w:t>ngineer</w:t>
      </w:r>
      <w:r>
        <w:rPr>
          <w:rFonts w:ascii="Tahoma" w:hAnsi="Tahoma" w:cs="Tahoma"/>
          <w:sz w:val="24"/>
          <w:szCs w:val="24"/>
        </w:rPr>
        <w:t>/D/Regions</w:t>
      </w:r>
    </w:p>
    <w:p w:rsidR="00405790" w:rsidRDefault="00405790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Copy to the CE/IT</w:t>
      </w:r>
    </w:p>
    <w:p w:rsidR="00405790" w:rsidRDefault="00405790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Copy to the CE/NCES</w:t>
      </w:r>
    </w:p>
    <w:p w:rsidR="00CF2BD8" w:rsidRDefault="00CF2BD8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Copy submitted to the Director (Distribution)/Gedco</w:t>
      </w:r>
    </w:p>
    <w:p w:rsidR="00CF2BD8" w:rsidRDefault="00CF2BD8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Copy submitted to the Director (Generation)/Gedco</w:t>
      </w:r>
    </w:p>
    <w:p w:rsidR="00405790" w:rsidRDefault="00405790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405790" w:rsidRDefault="00405790" w:rsidP="0040579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405790" w:rsidRDefault="00405790" w:rsidP="00C46DE7">
      <w:pPr>
        <w:spacing w:after="0"/>
        <w:rPr>
          <w:rFonts w:ascii="Tahoma" w:hAnsi="Tahoma" w:cs="Tahoma"/>
          <w:sz w:val="24"/>
          <w:szCs w:val="24"/>
        </w:rPr>
      </w:pPr>
    </w:p>
    <w:p w:rsidR="003F69F9" w:rsidRDefault="003F69F9"/>
    <w:sectPr w:rsidR="003F69F9" w:rsidSect="00190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46DE7"/>
    <w:rsid w:val="00043AB8"/>
    <w:rsid w:val="000F7CE2"/>
    <w:rsid w:val="001057F8"/>
    <w:rsid w:val="001904D2"/>
    <w:rsid w:val="002750F4"/>
    <w:rsid w:val="00333885"/>
    <w:rsid w:val="003638FC"/>
    <w:rsid w:val="00393F85"/>
    <w:rsid w:val="003F18D0"/>
    <w:rsid w:val="003F69F9"/>
    <w:rsid w:val="00405790"/>
    <w:rsid w:val="00433EC1"/>
    <w:rsid w:val="00521050"/>
    <w:rsid w:val="00542302"/>
    <w:rsid w:val="005C02DC"/>
    <w:rsid w:val="007C043C"/>
    <w:rsid w:val="008515C1"/>
    <w:rsid w:val="008A39D5"/>
    <w:rsid w:val="00A974B6"/>
    <w:rsid w:val="00AE0163"/>
    <w:rsid w:val="00C46DE7"/>
    <w:rsid w:val="00C65D14"/>
    <w:rsid w:val="00CF2BD8"/>
    <w:rsid w:val="00DA29DF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2019-02-18T11:00:00Z</cp:lastPrinted>
  <dcterms:created xsi:type="dcterms:W3CDTF">2019-02-19T09:33:00Z</dcterms:created>
  <dcterms:modified xsi:type="dcterms:W3CDTF">2019-02-19T09:33:00Z</dcterms:modified>
</cp:coreProperties>
</file>